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9F" w:rsidRPr="00E01D88" w:rsidRDefault="00DF2F9F" w:rsidP="00DF2F9F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E01D88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Что нужно знать о новой системе обращения с ТКО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Перерасчет платы за оказание коммунальной услуги по обращению с ТКО.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потребителя в жилом помещении более 5 полных календарных дней подряд, плата за ТКО рассчитывается с учетом количества собственников такого помещения. В тех случаях, когда в квитанции указываются не корректные данных о количестве проживающих или собственников жилья, необходимо обратиться к региональному оператору для уточнения сведений и перерасчета. Перерасчет осуществляется в заявительном порядке. Помимо заявления о перерасчете, собственником прилагается пакет документов, подтверждающих временное отсутствие в жилом помещении.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качеству предоставляемых коммунальных услуг, в том числе по обращению с ТКО и порядок перерасчета регламентируются Постановления Правительства РФ от 06.05.2011 № 354 «О предоставлении коммунальных услуг собственникам и пользователям помещений в многоквартирных домах и жилых домов».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Льготы для населения на оказание коммунальной услуги по обращению с ТКО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Ростовской области действуют льготы определенным категориям граждан (инвалиды войны, ветераны боевых действий, инвалиды 1 и 2 группы, семьи, имеющие детей-инвалидов, граждане, пострадавшие от радиационных аварий, ветераны труда, ветераны труда РО, реабилитированные лица, сельские специалисты).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Компенсация части расходов малоимущих граждан на оплату жилищно-коммунальных услуг, в том числе по обращению с ТКО, чьи ежемесячные расходы на ЖКУ превышают 20% от совокупного семейного дохода.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ряде территорий Ростовской области был введен понижающий коэффициент норматива накопления – 0,8. Его применяют на территориях 5 муниципалитетов, где норматив возрос в два и более раза. В г. Волгодонске, г. Донецке, г. Сальске и </w:t>
      </w:r>
      <w:proofErr w:type="spellStart"/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Матвеево-Курганском</w:t>
      </w:r>
      <w:proofErr w:type="spellEnd"/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применяют для жителей МКД, а в г. Таганроге как для жителей МКД, так и для жителей частных домовладений.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является собственником контейнерной площадки и кто должен содержать контейнерные площадки и проводить на них уборку?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Бремя содержания контейнерной площадки возлагается на собственника земельного участка.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В момент вывоза мусора уборку должен осуществлять региональный оператор, а в течение остального времени поддерживать чистоту и содержать контейнерную площадку обязан собственник, им может быть УК, ТСЖ, юридическое лицо или муниципалитет.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Контакты региональных операторов по обращению с ТКО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возникающим вопросам собственнику жилого помещения необходимо обратиться в отдел регионального оператора по телефону горячей линии.</w:t>
      </w:r>
    </w:p>
    <w:tbl>
      <w:tblPr>
        <w:tblW w:w="0" w:type="auto"/>
        <w:jc w:val="center"/>
        <w:tblBorders>
          <w:top w:val="single" w:sz="2" w:space="0" w:color="3187C7"/>
          <w:left w:val="single" w:sz="2" w:space="0" w:color="3187C7"/>
          <w:bottom w:val="single" w:sz="2" w:space="0" w:color="3187C7"/>
          <w:right w:val="single" w:sz="2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5"/>
        <w:gridCol w:w="2542"/>
      </w:tblGrid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МЭОК</w:t>
            </w:r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Телефон горячей линии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Волгодонской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8 800 707 05 08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Миллеровский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8 863 275 20 23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Новочеркасский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8 800 222 89 00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Красносулинский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8 800 302 53 33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Неклиновский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8 800 600 49 11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Сальский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8 800 707 05 08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Морозовский</w:t>
            </w:r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8 800 707 05 08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Мясниковский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8 800 707 05 08</w:t>
            </w:r>
          </w:p>
        </w:tc>
      </w:tr>
    </w:tbl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диспетчерская ЖКХ Ростовской области (863) 240-13-60, (863) 240-13-79, (863) 253-80-32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НОВАЯ СИСТЕМА ОБРАЩЕНИЯ С ТВЕРДЫМИ КОММУНАЛЬНЫМИ ОТХОДАМИ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чем отличие от старой системы? Что нового?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С новой системой появилось новое понятие - Региональный оператор по обращению с ТКО - это организация, которая несет ответственность за весь цикл обращения с ТКО, включая организацию их сбора, транспортирования, обработки, утилизации, обезвреживания и захоронения в специально отведенных для этого местах.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Полномочия региональных операторов и органов местного самоуправления.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полномочиям Регионального оператора относятся: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своевременный вывоз мусора с контейнерных площадок, в соответствии с установленным графиком. Региональный оператор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погрузки, а это подбор оброненных при погрузке твердых коммунальных отходов и перемещению их в мусоровоз.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вывоз с контейнерных площадок всех отходов, в т.ч. крупногабаритных и порубочных отходов, уличный смет, отходы от текущего ремонта жилых помещений.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ликвидация свалочных очагов на основании договора с собственниками земельного участка, на котором обнаружены отходы.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полномочиям органов местного самоуправления относится: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и содержание мест накопления твердых коммунальных отходов – контейнерных площадок, их обустройство. При этом в случае если в соответствии с действующим законодательством обязанность по созданию таких площадок лежит на других лицах (собственниках земельных участков), то они в обязательном порядке согласовывают места контейнерных площадок с органами местного самоуправления;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схемы размещения этих мест и ведение их реестра;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экологического воспитания и формирования экологической культуры.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правила регламентируются Постановлением Правительства РФ № 1156 от 12.11.2016 и №1572 от 15.12.2018, а также Федеральным законом № 503 от 30.12.2017.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Тарифы на услуги регионального оператора по обращению с ТКО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Региональной службой по тарифам установлены тарифы на услуги по обращению с ТКО для всех региональных операторов. Это единый тариф, в него входят затраты на обеспечение всего цикла: от сбора отходов, транспортировки, до их захоронения на санкционированных полигонах.</w:t>
      </w:r>
    </w:p>
    <w:tbl>
      <w:tblPr>
        <w:tblW w:w="0" w:type="auto"/>
        <w:jc w:val="center"/>
        <w:tblBorders>
          <w:top w:val="single" w:sz="2" w:space="0" w:color="3187C7"/>
          <w:left w:val="single" w:sz="2" w:space="0" w:color="3187C7"/>
          <w:bottom w:val="single" w:sz="2" w:space="0" w:color="3187C7"/>
          <w:right w:val="single" w:sz="2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5"/>
        <w:gridCol w:w="1347"/>
        <w:gridCol w:w="1347"/>
      </w:tblGrid>
      <w:tr w:rsidR="00DF2F9F" w:rsidRPr="00E01D88" w:rsidTr="00E40DB7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МЭОК</w:t>
            </w:r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Тариф руб./м3 в год, </w:t>
            </w: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br/>
              <w:t>с учетом НДС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vMerge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vAlign w:val="center"/>
            <w:hideMark/>
          </w:tcPr>
          <w:p w:rsidR="00DF2F9F" w:rsidRPr="00E01D88" w:rsidRDefault="00DF2F9F" w:rsidP="00E4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 01.01.2019</w:t>
            </w:r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с 01.07.2019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Волгодонской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544,5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>Сальский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535,9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Морозовский</w:t>
            </w:r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574,03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Мясниковский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446,84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Новочеркасский</w:t>
            </w:r>
            <w:proofErr w:type="spellEnd"/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507,46</w:t>
            </w:r>
          </w:p>
        </w:tc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582,54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Красносулинский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523,02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Неклиновский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578,94</w:t>
            </w:r>
          </w:p>
        </w:tc>
      </w:tr>
      <w:tr w:rsidR="00DF2F9F" w:rsidRPr="00E01D88" w:rsidTr="00E40DB7">
        <w:trPr>
          <w:jc w:val="center"/>
        </w:trPr>
        <w:tc>
          <w:tcPr>
            <w:tcW w:w="0" w:type="auto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Миллеровский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051945"/>
              <w:left w:val="single" w:sz="2" w:space="0" w:color="051945"/>
              <w:bottom w:val="single" w:sz="2" w:space="0" w:color="051945"/>
              <w:right w:val="single" w:sz="2" w:space="0" w:color="051945"/>
            </w:tcBorders>
            <w:shd w:val="clear" w:color="auto" w:fill="FFFFFF"/>
            <w:tcMar>
              <w:top w:w="17" w:type="dxa"/>
              <w:left w:w="50" w:type="dxa"/>
              <w:bottom w:w="17" w:type="dxa"/>
              <w:right w:w="50" w:type="dxa"/>
            </w:tcMar>
            <w:vAlign w:val="center"/>
            <w:hideMark/>
          </w:tcPr>
          <w:p w:rsidR="00DF2F9F" w:rsidRPr="00E01D88" w:rsidRDefault="00DF2F9F" w:rsidP="00E40DB7">
            <w:pPr>
              <w:spacing w:before="83" w:after="83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01D88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590,88</w:t>
            </w:r>
          </w:p>
        </w:tc>
      </w:tr>
    </w:tbl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должен заключать договор с региональным оператором?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 региональным оператором на оказание услуг по обращению с ТКО обязаны заключить все собственники ТКО: это собственники помещений в многоквартирных домах, собственники частных домовладений, юридические лица и индивидуальные предприниматели, в результате деятельности которых образуются ТКО.</w:t>
      </w:r>
    </w:p>
    <w:p w:rsidR="00DF2F9F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С физическими лицами договор заключается в публичной форме (публичного договора) и считается заключенным с момента конклюдентных действий (фактическое соблюдение условий договора), как с начала оказания услуги, так и оплаты (Постановление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домов»)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юридическими лицами договор с региональным оператором заключается в письменном виде (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РФ № 1156 «Об обращении с твердыми коммунальными отходами и внесении изменения в постановление Правительства Российской Федерации от 25 августа 2008 г. № 641»).</w:t>
      </w:r>
      <w:proofErr w:type="gramEnd"/>
    </w:p>
    <w:p w:rsidR="00DF2F9F" w:rsidRPr="006E68F9" w:rsidRDefault="00DF2F9F" w:rsidP="00DF2F9F">
      <w:pPr>
        <w:spacing w:before="100" w:beforeAutospacing="1" w:after="83" w:line="240" w:lineRule="auto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Все собственники ТКО заключают договор на оказание услуг по обращению с ТКО с региональным оператором, в зоне деятельности которого образуются ТКО и находятся места их сбора и оплачивают их по цене, определенной в пределах утвержденного в установленном порядке единого тарифа на услугу регионального оператора. Договоры, заключенные собственниками ТКО на сбор и вывоз ТКО ранее, действуют до заключения договора с региональным опе</w:t>
      </w:r>
      <w:r>
        <w:rPr>
          <w:rFonts w:ascii="Times New Roman" w:eastAsia="Times New Roman" w:hAnsi="Times New Roman" w:cs="Times New Roman"/>
          <w:color w:val="242424"/>
          <w:sz w:val="24"/>
          <w:szCs w:val="24"/>
        </w:rPr>
        <w:t>ратором - ООО «ЭКОТРАНС</w:t>
      </w: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».</w:t>
      </w:r>
    </w:p>
    <w:p w:rsidR="00DF2F9F" w:rsidRPr="006E68F9" w:rsidRDefault="00DF2F9F" w:rsidP="00DF2F9F">
      <w:pPr>
        <w:spacing w:before="100" w:beforeAutospacing="1" w:after="83" w:line="240" w:lineRule="auto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Теперь договоры на вывоз мусора должны заключать:</w:t>
      </w:r>
    </w:p>
    <w:p w:rsidR="00DF2F9F" w:rsidRPr="006E68F9" w:rsidRDefault="00DF2F9F" w:rsidP="00DF2F9F">
      <w:pPr>
        <w:numPr>
          <w:ilvl w:val="0"/>
          <w:numId w:val="1"/>
        </w:numPr>
        <w:spacing w:before="100" w:beforeAutospacing="1" w:after="166" w:line="240" w:lineRule="auto"/>
        <w:ind w:left="0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собственники частных жилых домов и частей жилых домов (</w:t>
      </w:r>
      <w:proofErr w:type="gram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ч</w:t>
      </w:r>
      <w:proofErr w:type="gram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. 5 ст. 30 Жилищного кодекса);</w:t>
      </w:r>
    </w:p>
    <w:p w:rsidR="00DF2F9F" w:rsidRPr="006E68F9" w:rsidRDefault="00DF2F9F" w:rsidP="00DF2F9F">
      <w:pPr>
        <w:numPr>
          <w:ilvl w:val="0"/>
          <w:numId w:val="1"/>
        </w:numPr>
        <w:spacing w:before="100" w:beforeAutospacing="1" w:after="166" w:line="240" w:lineRule="auto"/>
        <w:ind w:left="0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собственники нежилых помещений в многоквартирных домах (магазинов, офисов и пр.). Исключение: собственники      </w:t>
      </w:r>
      <w:proofErr w:type="spell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машино-мест</w:t>
      </w:r>
      <w:proofErr w:type="spell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(п.148(1) Постановления Правительства РФ №354);</w:t>
      </w:r>
    </w:p>
    <w:p w:rsidR="00DF2F9F" w:rsidRPr="006E68F9" w:rsidRDefault="00DF2F9F" w:rsidP="00DF2F9F">
      <w:pPr>
        <w:numPr>
          <w:ilvl w:val="0"/>
          <w:numId w:val="2"/>
        </w:numPr>
        <w:spacing w:before="100" w:beforeAutospacing="1" w:after="166" w:line="240" w:lineRule="auto"/>
        <w:ind w:left="0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управляющие компании / ТСЖ / жилищные кооперативы (</w:t>
      </w:r>
      <w:proofErr w:type="gram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ч</w:t>
      </w:r>
      <w:proofErr w:type="gram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. 12 ст. 161 Жилищного кодекса);</w:t>
      </w:r>
    </w:p>
    <w:p w:rsidR="00DF2F9F" w:rsidRPr="006E68F9" w:rsidRDefault="00DF2F9F" w:rsidP="00DF2F9F">
      <w:pPr>
        <w:numPr>
          <w:ilvl w:val="0"/>
          <w:numId w:val="2"/>
        </w:numPr>
        <w:spacing w:before="100" w:beforeAutospacing="1" w:after="166" w:line="240" w:lineRule="auto"/>
        <w:ind w:left="0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собственники помещений и квартир в МКД, если в доме непосредственное управление (</w:t>
      </w:r>
      <w:proofErr w:type="gram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ч</w:t>
      </w:r>
      <w:proofErr w:type="gram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. 2 ст. 164 Жилищного кодекса).</w:t>
      </w:r>
    </w:p>
    <w:p w:rsidR="00DF2F9F" w:rsidRPr="006E68F9" w:rsidRDefault="00DF2F9F" w:rsidP="00DF2F9F">
      <w:pPr>
        <w:spacing w:before="100" w:beforeAutospacing="1" w:after="83" w:line="240" w:lineRule="auto"/>
        <w:jc w:val="both"/>
        <w:rPr>
          <w:rFonts w:ascii="Arial" w:eastAsia="Times New Roman" w:hAnsi="Arial" w:cs="Arial"/>
          <w:color w:val="242424"/>
          <w:sz w:val="11"/>
          <w:szCs w:val="11"/>
        </w:rPr>
      </w:pP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Отказаться от заключения договора нельзя. Для собственников жилых и нежилых помещений заключение договоров на услуги по обращению с ТКО является обязательным. Накапливать твердые коммунальные отходы можно только в специально </w:t>
      </w:r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 xml:space="preserve">оборудованных местах. Такие площадки должны отвечать требованиям по охране окружающей среды и </w:t>
      </w:r>
      <w:proofErr w:type="spell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санэпидемнормам</w:t>
      </w:r>
      <w:proofErr w:type="spell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. Сжигать отходы без специального оборудования, которое очищает выбросы, запрещено. Плюс для обращения с отходами I-IV классов опасности требуется наличие лицензии. Отсутствие договора на вывоз мусора (ТКО) является административным правонарушением и в соответствии с пунктом 8.2. </w:t>
      </w:r>
      <w:proofErr w:type="spellStart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>КоАП</w:t>
      </w:r>
      <w:proofErr w:type="spellEnd"/>
      <w:r w:rsidRPr="006E68F9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РФ карается штрафом от 1 ООО до 2 ООО рублей. Долг будет взыскан региональным оператором через суд.</w:t>
      </w:r>
    </w:p>
    <w:p w:rsidR="00DF2F9F" w:rsidRPr="006E68F9" w:rsidRDefault="00DF2F9F" w:rsidP="00DF2F9F">
      <w:pPr>
        <w:tabs>
          <w:tab w:val="left" w:pos="3230"/>
        </w:tabs>
        <w:jc w:val="both"/>
      </w:pPr>
      <w:r w:rsidRPr="006E68F9">
        <w:rPr>
          <w:rFonts w:ascii="Times New Roman" w:eastAsia="Times New Roman" w:hAnsi="Times New Roman" w:cs="Times New Roman"/>
          <w:color w:val="333333"/>
          <w:sz w:val="24"/>
          <w:szCs w:val="24"/>
        </w:rPr>
        <w:t>Теперь при обнаружении несанкционированного места складирования ТКО объемом более 1 кубометра региональный оператор обязан пожаловаться в уполномоченные органы и выслать собственнику земельного участка уведомление о необходимости ликвидации этой свалки. Собственник участка должен самостоятельно ликвидировать свалку или заключить договор с региональным оператором в течение 30 дней. Если свалка так и не будет ликвидирована, региональный оператор устранит ее сам и через суд взыщет с собственника участка свои расходы (</w:t>
      </w:r>
      <w:proofErr w:type="spellStart"/>
      <w:r w:rsidRPr="006E68F9"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 w:rsidRPr="006E68F9">
        <w:rPr>
          <w:rFonts w:ascii="Times New Roman" w:eastAsia="Times New Roman" w:hAnsi="Times New Roman" w:cs="Times New Roman"/>
          <w:color w:val="333333"/>
          <w:sz w:val="24"/>
          <w:szCs w:val="24"/>
        </w:rPr>
        <w:t>. 16-17 Постановления Правительства РФ №1156)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Нормативы накопления ТКО в Ростовской области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Министерства жилищно-коммунального хозяйства Ростовской области от 8 февраля 2018 г. №2: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1 категория муниципальных образований </w:t>
      </w: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. Ростов-на-Дону, на 1 проживающего): многоквартирные дома - 3,08 м3/год; индивидуальные жилые дома 3,12 м3/год.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категория муниципальных образований (городские округа и </w:t>
      </w:r>
      <w:proofErr w:type="spell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Сальское</w:t>
      </w:r>
      <w:proofErr w:type="spell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городское поселение): многоквартирные дома - 3,01 м3/год; индивидуальные жилые дома 3,06 м3/год.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3 категория муниципальных образований (прочие населенные пункты): многоквартирные дома - 2,02 м3/год; индивидуальные жилые дома 1,86 м3/год.</w:t>
      </w:r>
    </w:p>
    <w:p w:rsidR="00DF2F9F" w:rsidRPr="00E01D88" w:rsidRDefault="00DF2F9F" w:rsidP="00DF2F9F">
      <w:pPr>
        <w:spacing w:before="83" w:after="8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Начисление платы за оказание коммунальной услуги по обращению с ТКО</w:t>
      </w:r>
    </w:p>
    <w:p w:rsidR="00DF2F9F" w:rsidRPr="00E01D88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переходом на новую систему обращения с ТКО услуга по вывозу мусора переходит из категории 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жилищных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коммунальные. Плата для населения рассчитывается не по квадратным метрам, а исходя из числа постоянно </w:t>
      </w:r>
      <w:proofErr w:type="gram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проживающих</w:t>
      </w:r>
      <w:proofErr w:type="gram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временно проживающих в жилом помещении. При их отсутствии плата рассчитывается с учетом количества собственников такого помещения.</w:t>
      </w:r>
    </w:p>
    <w:p w:rsidR="00DF2F9F" w:rsidRDefault="00DF2F9F" w:rsidP="00DF2F9F">
      <w:pPr>
        <w:spacing w:before="83" w:after="8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Теперь статья расходов на сбор отходов должна быть исключена из платы за </w:t>
      </w:r>
      <w:proofErr w:type="spellStart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общедомовые</w:t>
      </w:r>
      <w:proofErr w:type="spellEnd"/>
      <w:r w:rsidRPr="00E01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нужды, она стала отдельной коммунальной услугой. Но так как собственником контейнерной площадки может являться управляющая компания, то в квитанции может остаться графа на содержание и ремонт контейнерной площадки.</w:t>
      </w:r>
    </w:p>
    <w:sectPr w:rsidR="00DF2F9F" w:rsidSect="003E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003A"/>
    <w:multiLevelType w:val="multilevel"/>
    <w:tmpl w:val="3C76D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180868"/>
    <w:multiLevelType w:val="multilevel"/>
    <w:tmpl w:val="76B2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2F9F"/>
    <w:rsid w:val="006D2460"/>
    <w:rsid w:val="00891DE7"/>
    <w:rsid w:val="00D76C7F"/>
    <w:rsid w:val="00DF2F9F"/>
    <w:rsid w:val="00E831C7"/>
    <w:rsid w:val="00ED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F9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2023-01-26T05:40:00Z</dcterms:created>
  <dcterms:modified xsi:type="dcterms:W3CDTF">2023-01-26T05:40:00Z</dcterms:modified>
</cp:coreProperties>
</file>